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53AE8" w14:textId="77777777" w:rsidR="001760FF" w:rsidRPr="00875BF8" w:rsidRDefault="001760FF" w:rsidP="001760FF">
      <w:pPr>
        <w:pStyle w:val="Descripcin"/>
        <w:keepNext/>
        <w:rPr>
          <w:rFonts w:ascii="Times New Roman" w:hAnsi="Times New Roman" w:cs="Times New Roman"/>
          <w:i w:val="0"/>
          <w:iCs w:val="0"/>
          <w:color w:val="auto"/>
          <w:sz w:val="24"/>
          <w:szCs w:val="24"/>
        </w:rPr>
      </w:pPr>
      <w:r w:rsidRPr="00875BF8">
        <w:rPr>
          <w:rFonts w:ascii="Times New Roman" w:hAnsi="Times New Roman" w:cs="Times New Roman"/>
          <w:b/>
          <w:bCs/>
          <w:i w:val="0"/>
          <w:iCs w:val="0"/>
          <w:color w:val="auto"/>
          <w:sz w:val="24"/>
          <w:szCs w:val="24"/>
        </w:rPr>
        <w:t xml:space="preserve">Anexo  </w:t>
      </w:r>
      <w:r w:rsidRPr="00875BF8">
        <w:rPr>
          <w:rFonts w:ascii="Times New Roman" w:hAnsi="Times New Roman" w:cs="Times New Roman"/>
          <w:b/>
          <w:bCs/>
          <w:i w:val="0"/>
          <w:iCs w:val="0"/>
          <w:color w:val="auto"/>
          <w:sz w:val="24"/>
          <w:szCs w:val="24"/>
        </w:rPr>
        <w:fldChar w:fldCharType="begin"/>
      </w:r>
      <w:r w:rsidRPr="00875BF8">
        <w:rPr>
          <w:rFonts w:ascii="Times New Roman" w:hAnsi="Times New Roman" w:cs="Times New Roman"/>
          <w:b/>
          <w:bCs/>
          <w:i w:val="0"/>
          <w:iCs w:val="0"/>
          <w:color w:val="auto"/>
          <w:sz w:val="24"/>
          <w:szCs w:val="24"/>
        </w:rPr>
        <w:instrText xml:space="preserve"> SEQ Anexo_ \* ALPHABETIC </w:instrText>
      </w:r>
      <w:r w:rsidRPr="00875BF8">
        <w:rPr>
          <w:rFonts w:ascii="Times New Roman" w:hAnsi="Times New Roman" w:cs="Times New Roman"/>
          <w:b/>
          <w:bCs/>
          <w:i w:val="0"/>
          <w:iCs w:val="0"/>
          <w:color w:val="auto"/>
          <w:sz w:val="24"/>
          <w:szCs w:val="24"/>
        </w:rPr>
        <w:fldChar w:fldCharType="separate"/>
      </w:r>
      <w:r>
        <w:rPr>
          <w:rFonts w:ascii="Times New Roman" w:hAnsi="Times New Roman" w:cs="Times New Roman"/>
          <w:b/>
          <w:bCs/>
          <w:i w:val="0"/>
          <w:iCs w:val="0"/>
          <w:noProof/>
          <w:color w:val="auto"/>
          <w:sz w:val="24"/>
          <w:szCs w:val="24"/>
        </w:rPr>
        <w:t>A</w:t>
      </w:r>
      <w:r w:rsidRPr="00875BF8">
        <w:rPr>
          <w:rFonts w:ascii="Times New Roman" w:hAnsi="Times New Roman" w:cs="Times New Roman"/>
          <w:b/>
          <w:bCs/>
          <w:i w:val="0"/>
          <w:iCs w:val="0"/>
          <w:color w:val="auto"/>
          <w:sz w:val="24"/>
          <w:szCs w:val="24"/>
        </w:rPr>
        <w:fldChar w:fldCharType="end"/>
      </w:r>
      <w:r w:rsidRPr="00875BF8">
        <w:rPr>
          <w:rFonts w:ascii="Times New Roman" w:hAnsi="Times New Roman" w:cs="Times New Roman"/>
          <w:i w:val="0"/>
          <w:iCs w:val="0"/>
          <w:color w:val="auto"/>
          <w:sz w:val="24"/>
          <w:szCs w:val="24"/>
        </w:rPr>
        <w:t>. Entrevista a personal</w:t>
      </w:r>
    </w:p>
    <w:tbl>
      <w:tblPr>
        <w:tblStyle w:val="Tablaconcuadrcula"/>
        <w:tblW w:w="9385" w:type="dxa"/>
        <w:tblBorders>
          <w:left w:val="none" w:sz="0" w:space="0" w:color="auto"/>
          <w:right w:val="none" w:sz="0" w:space="0" w:color="auto"/>
        </w:tblBorders>
        <w:tblLook w:val="04A0" w:firstRow="1" w:lastRow="0" w:firstColumn="1" w:lastColumn="0" w:noHBand="0" w:noVBand="1"/>
      </w:tblPr>
      <w:tblGrid>
        <w:gridCol w:w="2561"/>
        <w:gridCol w:w="6824"/>
      </w:tblGrid>
      <w:tr w:rsidR="001760FF" w:rsidRPr="008C1C98" w14:paraId="6139956A" w14:textId="77777777" w:rsidTr="0013470F">
        <w:trPr>
          <w:trHeight w:val="228"/>
        </w:trPr>
        <w:tc>
          <w:tcPr>
            <w:tcW w:w="2561" w:type="dxa"/>
            <w:tcBorders>
              <w:right w:val="nil"/>
            </w:tcBorders>
          </w:tcPr>
          <w:p w14:paraId="33318E67" w14:textId="77777777" w:rsidR="001760FF" w:rsidRPr="008C1C98" w:rsidRDefault="001760FF" w:rsidP="0013470F">
            <w:pPr>
              <w:jc w:val="both"/>
              <w:rPr>
                <w:rFonts w:ascii="Times New Roman" w:hAnsi="Times New Roman" w:cs="Times New Roman"/>
                <w:sz w:val="24"/>
                <w:szCs w:val="24"/>
              </w:rPr>
            </w:pPr>
            <w:r w:rsidRPr="008C1C98">
              <w:rPr>
                <w:rFonts w:ascii="Times New Roman" w:hAnsi="Times New Roman" w:cs="Times New Roman"/>
                <w:sz w:val="24"/>
                <w:szCs w:val="24"/>
              </w:rPr>
              <w:t xml:space="preserve">Pregunta </w:t>
            </w:r>
          </w:p>
        </w:tc>
        <w:tc>
          <w:tcPr>
            <w:tcW w:w="6824" w:type="dxa"/>
            <w:tcBorders>
              <w:left w:val="nil"/>
            </w:tcBorders>
          </w:tcPr>
          <w:p w14:paraId="0F30E122" w14:textId="77777777" w:rsidR="001760FF" w:rsidRPr="008C1C98" w:rsidRDefault="001760FF" w:rsidP="0013470F">
            <w:pPr>
              <w:jc w:val="both"/>
              <w:rPr>
                <w:rFonts w:ascii="Times New Roman" w:hAnsi="Times New Roman" w:cs="Times New Roman"/>
                <w:sz w:val="24"/>
                <w:szCs w:val="24"/>
              </w:rPr>
            </w:pPr>
            <w:r w:rsidRPr="008C1C98">
              <w:rPr>
                <w:rFonts w:ascii="Times New Roman" w:hAnsi="Times New Roman" w:cs="Times New Roman"/>
                <w:sz w:val="24"/>
                <w:szCs w:val="24"/>
              </w:rPr>
              <w:t>Respuesta</w:t>
            </w:r>
          </w:p>
        </w:tc>
      </w:tr>
      <w:tr w:rsidR="001760FF" w:rsidRPr="008C1C98" w14:paraId="100329E2" w14:textId="77777777" w:rsidTr="0013470F">
        <w:trPr>
          <w:trHeight w:val="2056"/>
        </w:trPr>
        <w:tc>
          <w:tcPr>
            <w:tcW w:w="2561" w:type="dxa"/>
            <w:tcBorders>
              <w:right w:val="nil"/>
            </w:tcBorders>
            <w:vAlign w:val="center"/>
          </w:tcPr>
          <w:p w14:paraId="7925E8F5"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sz w:val="24"/>
                <w:szCs w:val="24"/>
              </w:rPr>
              <w:t>Pregunta: ¿Cómo se controla actualmente el inventario de medicamentos próximos a vencer?</w:t>
            </w:r>
          </w:p>
        </w:tc>
        <w:tc>
          <w:tcPr>
            <w:tcW w:w="6824" w:type="dxa"/>
            <w:tcBorders>
              <w:left w:val="nil"/>
            </w:tcBorders>
          </w:tcPr>
          <w:p w14:paraId="3E66FCF5"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b/>
                <w:sz w:val="24"/>
                <w:szCs w:val="24"/>
              </w:rPr>
              <w:t>Respuesta</w:t>
            </w:r>
            <w:r w:rsidRPr="008C1C98">
              <w:rPr>
                <w:rFonts w:ascii="Times New Roman" w:hAnsi="Times New Roman" w:cs="Times New Roman"/>
                <w:sz w:val="24"/>
                <w:szCs w:val="24"/>
              </w:rPr>
              <w:t>: El control de los medicamentos próximos a vencer no es riguroso. No hay un procedimiento estandarizado para priorizar la dispensación de medicamentos, lo que lleva a que algunos productos cercanos a la fecha de caducidad permanezcan en el inventario sin ser dispensados a tiempo, lo que provoca pérdidas por caducidad.</w:t>
            </w:r>
          </w:p>
        </w:tc>
      </w:tr>
      <w:tr w:rsidR="001760FF" w:rsidRPr="008C1C98" w14:paraId="38AC0F1A" w14:textId="77777777" w:rsidTr="0013470F">
        <w:trPr>
          <w:trHeight w:val="1708"/>
        </w:trPr>
        <w:tc>
          <w:tcPr>
            <w:tcW w:w="2561" w:type="dxa"/>
            <w:tcBorders>
              <w:right w:val="nil"/>
            </w:tcBorders>
            <w:vAlign w:val="center"/>
          </w:tcPr>
          <w:p w14:paraId="646A85A3"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sz w:val="24"/>
                <w:szCs w:val="24"/>
              </w:rPr>
              <w:t>Pregunta: ¿Cómo se realiza la planificación del abastecimiento en los puntos de dispensación?</w:t>
            </w:r>
          </w:p>
        </w:tc>
        <w:tc>
          <w:tcPr>
            <w:tcW w:w="6824" w:type="dxa"/>
            <w:tcBorders>
              <w:left w:val="nil"/>
            </w:tcBorders>
          </w:tcPr>
          <w:p w14:paraId="6595A371"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b/>
                <w:sz w:val="24"/>
                <w:szCs w:val="24"/>
              </w:rPr>
              <w:t>Respuesta</w:t>
            </w:r>
            <w:r w:rsidRPr="008C1C98">
              <w:rPr>
                <w:rFonts w:ascii="Times New Roman" w:hAnsi="Times New Roman" w:cs="Times New Roman"/>
                <w:sz w:val="24"/>
                <w:szCs w:val="24"/>
              </w:rPr>
              <w:t>: La planificación del abastecimiento se realiza de manera inconsistente. No existe un procedimiento estandarizado ni herramientas adecuadas para calcular la demanda de medicamentos en los puntos de dispensación. Esto genera tanto exceso como escasez de productos, lo que afecta la eficiencia del servicio.</w:t>
            </w:r>
          </w:p>
        </w:tc>
      </w:tr>
      <w:tr w:rsidR="001760FF" w:rsidRPr="008C1C98" w14:paraId="07E2F438" w14:textId="77777777" w:rsidTr="0013470F">
        <w:trPr>
          <w:trHeight w:val="1708"/>
        </w:trPr>
        <w:tc>
          <w:tcPr>
            <w:tcW w:w="2561" w:type="dxa"/>
            <w:tcBorders>
              <w:right w:val="nil"/>
            </w:tcBorders>
            <w:vAlign w:val="center"/>
          </w:tcPr>
          <w:p w14:paraId="3BCC253F" w14:textId="77777777" w:rsidR="001760FF" w:rsidRPr="008C1C98" w:rsidRDefault="001760FF" w:rsidP="0013470F">
            <w:pPr>
              <w:spacing w:line="360" w:lineRule="auto"/>
              <w:ind w:right="-104"/>
              <w:jc w:val="both"/>
              <w:rPr>
                <w:rFonts w:ascii="Times New Roman" w:hAnsi="Times New Roman" w:cs="Times New Roman"/>
                <w:sz w:val="24"/>
                <w:szCs w:val="24"/>
              </w:rPr>
            </w:pPr>
            <w:r w:rsidRPr="008C1C98">
              <w:rPr>
                <w:rFonts w:ascii="Times New Roman" w:hAnsi="Times New Roman" w:cs="Times New Roman"/>
                <w:sz w:val="24"/>
                <w:szCs w:val="24"/>
              </w:rPr>
              <w:t>Pregunta: ¿Cómo se gestionan las discrepancias entre el inventario físico y el registrado en el sistema?</w:t>
            </w:r>
          </w:p>
        </w:tc>
        <w:tc>
          <w:tcPr>
            <w:tcW w:w="6824" w:type="dxa"/>
            <w:tcBorders>
              <w:left w:val="nil"/>
            </w:tcBorders>
          </w:tcPr>
          <w:p w14:paraId="21BDC2B2"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b/>
                <w:sz w:val="24"/>
                <w:szCs w:val="24"/>
              </w:rPr>
              <w:t>Respuesta</w:t>
            </w:r>
            <w:r w:rsidRPr="008C1C98">
              <w:rPr>
                <w:rFonts w:ascii="Times New Roman" w:hAnsi="Times New Roman" w:cs="Times New Roman"/>
                <w:sz w:val="24"/>
                <w:szCs w:val="24"/>
              </w:rPr>
              <w:t>: Actualmente, las discrepancias entre el inventario físico y el registrado en el sistema son comunes, debido a una falta de control adecuado. No siempre se actualiza el sistema cuando se realizan movimientos de inventario, lo que genera inconsistencias y retrasa el proceso de dispensación de medicamentos.</w:t>
            </w:r>
          </w:p>
        </w:tc>
      </w:tr>
      <w:tr w:rsidR="001760FF" w:rsidRPr="008C1C98" w14:paraId="2F70A4DE" w14:textId="77777777" w:rsidTr="0013470F">
        <w:trPr>
          <w:trHeight w:val="900"/>
        </w:trPr>
        <w:tc>
          <w:tcPr>
            <w:tcW w:w="2561" w:type="dxa"/>
            <w:tcBorders>
              <w:right w:val="nil"/>
            </w:tcBorders>
            <w:vAlign w:val="center"/>
          </w:tcPr>
          <w:p w14:paraId="28BFBBBF"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sz w:val="24"/>
                <w:szCs w:val="24"/>
              </w:rPr>
              <w:t xml:space="preserve">Pregunta: ¿Cuál es el procedimiento actual para la recepción y gestión de </w:t>
            </w:r>
            <w:proofErr w:type="spellStart"/>
            <w:r w:rsidRPr="008C1C98">
              <w:rPr>
                <w:rFonts w:ascii="Times New Roman" w:hAnsi="Times New Roman" w:cs="Times New Roman"/>
                <w:sz w:val="24"/>
                <w:szCs w:val="24"/>
              </w:rPr>
              <w:t>PQRs</w:t>
            </w:r>
            <w:proofErr w:type="spellEnd"/>
            <w:r w:rsidRPr="008C1C98">
              <w:rPr>
                <w:rFonts w:ascii="Times New Roman" w:hAnsi="Times New Roman" w:cs="Times New Roman"/>
                <w:sz w:val="24"/>
                <w:szCs w:val="24"/>
              </w:rPr>
              <w:t xml:space="preserve"> en el área de dispensación?</w:t>
            </w:r>
          </w:p>
        </w:tc>
        <w:tc>
          <w:tcPr>
            <w:tcW w:w="6824" w:type="dxa"/>
            <w:tcBorders>
              <w:left w:val="nil"/>
            </w:tcBorders>
          </w:tcPr>
          <w:p w14:paraId="5E925917"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b/>
                <w:sz w:val="24"/>
                <w:szCs w:val="24"/>
              </w:rPr>
              <w:t>Respuesta</w:t>
            </w:r>
            <w:r w:rsidRPr="008C1C98">
              <w:rPr>
                <w:rFonts w:ascii="Times New Roman" w:hAnsi="Times New Roman" w:cs="Times New Roman"/>
                <w:sz w:val="24"/>
                <w:szCs w:val="24"/>
              </w:rPr>
              <w:t xml:space="preserve">: El procedimiento para la gestión de </w:t>
            </w:r>
            <w:proofErr w:type="spellStart"/>
            <w:r w:rsidRPr="008C1C98">
              <w:rPr>
                <w:rFonts w:ascii="Times New Roman" w:hAnsi="Times New Roman" w:cs="Times New Roman"/>
                <w:sz w:val="24"/>
                <w:szCs w:val="24"/>
              </w:rPr>
              <w:t>PQRs</w:t>
            </w:r>
            <w:proofErr w:type="spellEnd"/>
            <w:r w:rsidRPr="008C1C98">
              <w:rPr>
                <w:rFonts w:ascii="Times New Roman" w:hAnsi="Times New Roman" w:cs="Times New Roman"/>
                <w:sz w:val="24"/>
                <w:szCs w:val="24"/>
              </w:rPr>
              <w:t xml:space="preserve"> es ineficiente. No hay un protocolo claro para clasificar y resolver las quejas, lo que provoca demoras en la atención y resolución. Esto incrementa la insatisfacción de los usuarios, y se refleja en el aumento constante de PQRS recibidas.</w:t>
            </w:r>
          </w:p>
        </w:tc>
      </w:tr>
      <w:tr w:rsidR="001760FF" w:rsidRPr="008C1C98" w14:paraId="1720CB84" w14:textId="77777777" w:rsidTr="0013470F">
        <w:trPr>
          <w:trHeight w:val="2046"/>
        </w:trPr>
        <w:tc>
          <w:tcPr>
            <w:tcW w:w="2561" w:type="dxa"/>
            <w:tcBorders>
              <w:right w:val="nil"/>
            </w:tcBorders>
            <w:vAlign w:val="center"/>
          </w:tcPr>
          <w:p w14:paraId="0F71A681"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sz w:val="24"/>
                <w:szCs w:val="24"/>
              </w:rPr>
              <w:t>Pregunta: ¿Cuáles son las principales causas de los retrasos en la dispensación de medicamentos a usuarios?</w:t>
            </w:r>
          </w:p>
        </w:tc>
        <w:tc>
          <w:tcPr>
            <w:tcW w:w="6824" w:type="dxa"/>
            <w:tcBorders>
              <w:left w:val="nil"/>
            </w:tcBorders>
          </w:tcPr>
          <w:p w14:paraId="160D4BC7" w14:textId="77777777" w:rsidR="001760FF" w:rsidRPr="008C1C98" w:rsidRDefault="001760FF" w:rsidP="0013470F">
            <w:pPr>
              <w:spacing w:line="360" w:lineRule="auto"/>
              <w:jc w:val="both"/>
              <w:rPr>
                <w:rFonts w:ascii="Times New Roman" w:hAnsi="Times New Roman" w:cs="Times New Roman"/>
                <w:sz w:val="24"/>
                <w:szCs w:val="24"/>
              </w:rPr>
            </w:pPr>
            <w:r w:rsidRPr="008C1C98">
              <w:rPr>
                <w:rFonts w:ascii="Times New Roman" w:hAnsi="Times New Roman" w:cs="Times New Roman"/>
                <w:b/>
                <w:sz w:val="24"/>
                <w:szCs w:val="24"/>
              </w:rPr>
              <w:t>Respuesta</w:t>
            </w:r>
            <w:r w:rsidRPr="008C1C98">
              <w:rPr>
                <w:rFonts w:ascii="Times New Roman" w:hAnsi="Times New Roman" w:cs="Times New Roman"/>
                <w:sz w:val="24"/>
                <w:szCs w:val="24"/>
              </w:rPr>
              <w:t>: Los retrasos en la dispensación son causados por varios factores, entre ellos, la falta de estandarización en los procesos de abastecimiento, el mal manejo del inventario y los retrasos en los pagos a los proveedores. Todo esto genera demoras en la reposición de productos y problemas en la priorización de los medicamentos, lo que afecta directamente la entrega oportuna a los usuarios.</w:t>
            </w:r>
          </w:p>
        </w:tc>
      </w:tr>
    </w:tbl>
    <w:p w14:paraId="602C3F99" w14:textId="77777777" w:rsidR="001760FF" w:rsidRDefault="001760FF" w:rsidP="001760FF">
      <w:pPr>
        <w:spacing w:line="480" w:lineRule="auto"/>
        <w:jc w:val="both"/>
        <w:rPr>
          <w:rFonts w:ascii="Times New Roman" w:hAnsi="Times New Roman" w:cs="Times New Roman"/>
          <w:sz w:val="24"/>
          <w:szCs w:val="24"/>
        </w:rPr>
      </w:pPr>
    </w:p>
    <w:p w14:paraId="6D2696B2" w14:textId="77777777" w:rsidR="00AE016A" w:rsidRDefault="00AE016A"/>
    <w:sectPr w:rsidR="00AE016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0FF"/>
    <w:rsid w:val="001760FF"/>
    <w:rsid w:val="00AE01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32CD3"/>
  <w15:chartTrackingRefBased/>
  <w15:docId w15:val="{4F3F210F-057B-4A8D-BBF8-FF7A72744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0FF"/>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Descripcin">
    <w:name w:val="caption"/>
    <w:basedOn w:val="Normal"/>
    <w:next w:val="Normal"/>
    <w:uiPriority w:val="35"/>
    <w:unhideWhenUsed/>
    <w:qFormat/>
    <w:rsid w:val="001760FF"/>
    <w:pPr>
      <w:spacing w:after="200" w:line="240" w:lineRule="auto"/>
    </w:pPr>
    <w:rPr>
      <w:i/>
      <w:iCs/>
      <w:color w:val="44546A" w:themeColor="text2"/>
      <w:sz w:val="18"/>
      <w:szCs w:val="18"/>
    </w:rPr>
  </w:style>
  <w:style w:type="table" w:styleId="Tablaconcuadrcula">
    <w:name w:val="Table Grid"/>
    <w:basedOn w:val="Tablanormal"/>
    <w:uiPriority w:val="59"/>
    <w:rsid w:val="001760F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1901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2025-01-27T21:01:00Z</dcterms:created>
  <dcterms:modified xsi:type="dcterms:W3CDTF">2025-01-27T21:02:00Z</dcterms:modified>
</cp:coreProperties>
</file>